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79DEA" w14:textId="77777777" w:rsidR="00AC2FCA" w:rsidRDefault="00AC2FCA" w:rsidP="00AC2FCA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Informacja o podziale czynności oraz sposobie uczestniczenia</w:t>
      </w:r>
    </w:p>
    <w:p w14:paraId="4631F293" w14:textId="77777777" w:rsidR="00AC2FCA" w:rsidRDefault="00AC2FCA" w:rsidP="00AC2FCA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przydziale spraw w Sądzie Apelacyjnym w Białymstoku </w:t>
      </w:r>
    </w:p>
    <w:p w14:paraId="0533BFB5" w14:textId="77777777" w:rsidR="00AC2FCA" w:rsidRDefault="00AC2FCA" w:rsidP="00AC2FCA">
      <w:pPr>
        <w:numPr>
          <w:ilvl w:val="0"/>
          <w:numId w:val="1"/>
        </w:numPr>
        <w:spacing w:after="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obowiązujący od 1 grudnia 2019 r.</w:t>
      </w:r>
    </w:p>
    <w:p w14:paraId="2D4E2F1D" w14:textId="77777777" w:rsidR="00AC2FCA" w:rsidRDefault="00AC2FCA" w:rsidP="00AC2FCA">
      <w:pPr>
        <w:numPr>
          <w:ilvl w:val="0"/>
          <w:numId w:val="1"/>
        </w:numPr>
        <w:spacing w:after="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zmieniony w dniach:</w:t>
      </w:r>
    </w:p>
    <w:p w14:paraId="2B723365" w14:textId="0BCBF767" w:rsidR="00AC2FCA" w:rsidRDefault="00AC2FCA" w:rsidP="00AC2FCA">
      <w:pPr>
        <w:numPr>
          <w:ilvl w:val="0"/>
          <w:numId w:val="2"/>
        </w:numPr>
        <w:spacing w:after="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21 grudnia 2020 r.</w:t>
      </w:r>
    </w:p>
    <w:p w14:paraId="2ADEF2F3" w14:textId="5FE3A26E" w:rsidR="00AC2FCA" w:rsidRDefault="00AC2FCA" w:rsidP="00AC2FCA">
      <w:pPr>
        <w:numPr>
          <w:ilvl w:val="0"/>
          <w:numId w:val="2"/>
        </w:numPr>
        <w:spacing w:after="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 kwietnia 2021 r.</w:t>
      </w:r>
    </w:p>
    <w:p w14:paraId="572A6495" w14:textId="77777777" w:rsidR="00AC2FCA" w:rsidRDefault="00AC2FCA" w:rsidP="00AC2FCA">
      <w:pPr>
        <w:numPr>
          <w:ilvl w:val="0"/>
          <w:numId w:val="2"/>
        </w:numPr>
        <w:spacing w:after="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15 maja 2024 r.</w:t>
      </w:r>
    </w:p>
    <w:p w14:paraId="10619F7E" w14:textId="77777777" w:rsidR="00AC2FCA" w:rsidRDefault="00AC2FCA" w:rsidP="00AC2FCA">
      <w:pPr>
        <w:spacing w:after="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</w:p>
    <w:p w14:paraId="0C3065D1" w14:textId="77777777" w:rsidR="00AC2FCA" w:rsidRDefault="00AC2FCA" w:rsidP="00AC2FCA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Przydział sędziów, asesorów sądowych i referendarzy sądowych do wydziałów sądu, zakres ich obowiązków i sposób uczestniczenia w przydziale spraw i zadań sądu:</w:t>
      </w:r>
    </w:p>
    <w:p w14:paraId="37BEA984" w14:textId="75F807A3" w:rsidR="00AC2FCA" w:rsidRDefault="00AC2FCA" w:rsidP="00AC2FCA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Lp. Wydział, </w:t>
      </w:r>
      <w:r>
        <w:rPr>
          <w:rFonts w:cstheme="minorHAnsi"/>
          <w:b/>
          <w:sz w:val="24"/>
          <w:szCs w:val="24"/>
        </w:rPr>
        <w:t>II Wydział Karny</w:t>
      </w:r>
    </w:p>
    <w:p w14:paraId="2879F556" w14:textId="01EAE0DD" w:rsidR="00AC2FCA" w:rsidRDefault="00AC2FCA" w:rsidP="00AC2FCA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Imię (imiona)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Brandeta Bogumiła; </w:t>
      </w:r>
      <w:r>
        <w:rPr>
          <w:rFonts w:eastAsia="Times New Roman" w:cstheme="minorHAnsi"/>
          <w:sz w:val="24"/>
          <w:szCs w:val="24"/>
          <w:lang w:eastAsia="pl-PL"/>
        </w:rPr>
        <w:t xml:space="preserve">Nazwisko </w:t>
      </w:r>
      <w:r>
        <w:rPr>
          <w:rFonts w:eastAsia="Times New Roman" w:cstheme="minorHAnsi"/>
          <w:b/>
          <w:sz w:val="24"/>
          <w:szCs w:val="24"/>
          <w:lang w:eastAsia="pl-PL"/>
        </w:rPr>
        <w:t>Hryniewicka;</w:t>
      </w:r>
      <w:r>
        <w:rPr>
          <w:rFonts w:eastAsia="Times New Roman" w:cstheme="minorHAnsi"/>
          <w:sz w:val="24"/>
          <w:szCs w:val="24"/>
          <w:lang w:eastAsia="pl-PL"/>
        </w:rPr>
        <w:t xml:space="preserve"> Podstawowy wskaźnik przydziału </w:t>
      </w:r>
      <w:r>
        <w:rPr>
          <w:rFonts w:eastAsia="Times New Roman" w:cstheme="minorHAnsi"/>
          <w:b/>
          <w:sz w:val="24"/>
          <w:szCs w:val="24"/>
          <w:lang w:eastAsia="pl-PL"/>
        </w:rPr>
        <w:t>75%</w:t>
      </w:r>
    </w:p>
    <w:p w14:paraId="69C5A98C" w14:textId="77777777" w:rsidR="00AC2FCA" w:rsidRDefault="00AC2FCA" w:rsidP="00AC2FCA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Uzasadnienie podstawowego wskaźnika przydziału niższego niż 100%;</w:t>
      </w:r>
    </w:p>
    <w:p w14:paraId="5F0660BC" w14:textId="77777777" w:rsidR="00AC2FCA" w:rsidRDefault="00AC2FCA" w:rsidP="00AC2FCA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§ 68 ust. 1 pkt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2d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 xml:space="preserve"> regulaminu urzędowania sądów powszechnych </w:t>
      </w:r>
    </w:p>
    <w:p w14:paraId="12B9F653" w14:textId="7713BC67" w:rsidR="00AC2FCA" w:rsidRPr="00AC2FCA" w:rsidRDefault="00AC2FCA" w:rsidP="00AC2FCA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Wskaźniki przydziału inne niż podstawowy: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sprawy z kategorii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AK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pl-PL"/>
        </w:rPr>
        <w:t>zw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100%;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AKz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 w:rsidRPr="00AC2FCA">
        <w:rPr>
          <w:rFonts w:eastAsia="Times New Roman" w:cstheme="minorHAnsi"/>
          <w:b/>
          <w:sz w:val="24"/>
          <w:szCs w:val="24"/>
          <w:lang w:eastAsia="pl-PL"/>
        </w:rPr>
        <w:t>60%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AKp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 w:rsidRPr="00AC2FCA">
        <w:rPr>
          <w:rFonts w:eastAsia="Times New Roman" w:cstheme="minorHAnsi"/>
          <w:b/>
          <w:sz w:val="24"/>
          <w:szCs w:val="24"/>
          <w:lang w:eastAsia="pl-PL"/>
        </w:rPr>
        <w:t>60%</w:t>
      </w:r>
    </w:p>
    <w:p w14:paraId="032B8275" w14:textId="77777777" w:rsidR="00AC2FCA" w:rsidRDefault="00AC2FCA" w:rsidP="00AC2FCA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Stanowisko służbowe </w:t>
      </w:r>
      <w:r>
        <w:rPr>
          <w:rFonts w:cstheme="minorHAnsi"/>
          <w:b/>
          <w:sz w:val="24"/>
          <w:szCs w:val="24"/>
        </w:rPr>
        <w:t>sędzia Sądu Apelacyjnego w Białymstoku;</w:t>
      </w:r>
    </w:p>
    <w:p w14:paraId="37386DBD" w14:textId="6EF5D040" w:rsidR="00AC2FCA" w:rsidRDefault="00AC2FCA" w:rsidP="00AC2FCA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Pełnione funkcje; </w:t>
      </w:r>
      <w:r>
        <w:rPr>
          <w:rFonts w:cstheme="minorHAnsi"/>
          <w:b/>
          <w:sz w:val="24"/>
          <w:szCs w:val="24"/>
        </w:rPr>
        <w:t>wizytator ds. karnych</w:t>
      </w:r>
      <w:r>
        <w:rPr>
          <w:rFonts w:cstheme="minorHAnsi"/>
          <w:sz w:val="24"/>
          <w:szCs w:val="24"/>
        </w:rPr>
        <w:t>; Inne indywidualne reguły przydziału; Obowiązki niezwiązane z przydziałem;</w:t>
      </w:r>
    </w:p>
    <w:p w14:paraId="0AD6BE16" w14:textId="77777777" w:rsidR="00AC2FCA" w:rsidRDefault="00AC2FCA" w:rsidP="00AC2FCA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ogólne reguły przydziału spraw i zadań sądu;</w:t>
      </w:r>
    </w:p>
    <w:p w14:paraId="6B4714FA" w14:textId="77777777" w:rsidR="00AC2FCA" w:rsidRDefault="00AC2FCA" w:rsidP="00AC2FCA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dodatkowe</w:t>
      </w:r>
    </w:p>
    <w:p w14:paraId="20FCA37F" w14:textId="77777777" w:rsidR="00AC2FCA" w:rsidRDefault="00AC2FCA" w:rsidP="00AC2FCA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Plan dyżurów oraz zastępstw sędziów, asesorów sądowych i referendarzy sądowych:</w:t>
      </w:r>
    </w:p>
    <w:p w14:paraId="17190F8A" w14:textId="1D23878C" w:rsidR="00AC2FCA" w:rsidRDefault="00AC2FCA" w:rsidP="00AC2FCA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Lp. 1</w:t>
      </w:r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Rodzaj spraw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Wszystkie kategorie spraw wpływające do II Wydziału Karnego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Liczba dyżurnych i pełniących zastępstwa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10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Wydział i/lub sędziowie, asesorzy sądowi i referendarze sądowi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</w:t>
      </w:r>
      <w:r w:rsidR="00271D5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Wydział Karny</w:t>
      </w:r>
    </w:p>
    <w:p w14:paraId="3775D0CA" w14:textId="77777777" w:rsidR="00AC2FCA" w:rsidRDefault="00AC2FCA" w:rsidP="00AC2FCA"/>
    <w:p w14:paraId="3DD79CF1" w14:textId="77777777" w:rsidR="00AC2FCA" w:rsidRDefault="00AC2FCA" w:rsidP="00AC2FCA"/>
    <w:p w14:paraId="13AC8EF0" w14:textId="77777777" w:rsidR="00AC2FCA" w:rsidRDefault="00AC2FCA" w:rsidP="00AC2FCA"/>
    <w:p w14:paraId="5DF4484E" w14:textId="77777777" w:rsidR="00AC2FCA" w:rsidRDefault="00AC2FCA" w:rsidP="00AC2FCA"/>
    <w:p w14:paraId="44E4313A" w14:textId="77777777" w:rsidR="00221247" w:rsidRDefault="00221247"/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BE"/>
    <w:rsid w:val="00221247"/>
    <w:rsid w:val="00271D5B"/>
    <w:rsid w:val="004142BE"/>
    <w:rsid w:val="00A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BE3C"/>
  <w15:chartTrackingRefBased/>
  <w15:docId w15:val="{41C6F772-EAFD-4F42-97F2-D9F51F2F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2FC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3</cp:revision>
  <dcterms:created xsi:type="dcterms:W3CDTF">2024-05-15T07:18:00Z</dcterms:created>
  <dcterms:modified xsi:type="dcterms:W3CDTF">2024-05-15T07:27:00Z</dcterms:modified>
</cp:coreProperties>
</file>